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3.png" ContentType="image/png"/>
  <Override PartName="/word/media/image10.wmf" ContentType="image/x-wmf"/>
  <Override PartName="/word/media/image8.wmf" ContentType="image/x-wmf"/>
  <Override PartName="/word/media/image6.png" ContentType="image/png"/>
  <Override PartName="/word/media/image5.wmf" ContentType="image/x-wmf"/>
  <Override PartName="/word/media/image7.png" ContentType="image/png"/>
  <Override PartName="/word/media/image4.png" ContentType="image/png"/>
  <Override PartName="/word/media/image9.wmf" ContentType="image/x-wmf"/>
  <Override PartName="/word/media/image3.wmf" ContentType="image/x-wmf"/>
  <Override PartName="/word/media/image12.wmf" ContentType="image/x-wmf"/>
  <Override PartName="/word/media/image2.wmf" ContentType="image/x-wmf"/>
  <Override PartName="/word/media/image11.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4754"/>
        <w:gridCol w:w="2732"/>
        <w:gridCol w:w="5720"/>
      </w:tblGrid>
      <w:tr>
        <w:trPr>
          <w:trHeight w:val="1071" w:hRule="atLeast"/>
          <w:cantSplit w:val="false"/>
        </w:trPr>
        <w:tc>
          <w:tcPr>
            <w:tcW w:w="4754" w:type="dxa"/>
            <w:tcBorders>
              <w:top w:val="nil"/>
              <w:left w:val="nil"/>
              <w:bottom w:val="single" w:sz="4" w:space="0" w:color="00000A"/>
              <w:insideH w:val="single" w:sz="4" w:space="0" w:color="00000A"/>
              <w:right w:val="nil"/>
              <w:insideV w:val="nil"/>
            </w:tcBorders>
            <w:shd w:fill="auto" w:val="clear"/>
            <w:vAlign w:val="center"/>
          </w:tcPr>
          <w:p>
            <w:pPr>
              <w:pStyle w:val="Normal"/>
              <w:rPr/>
            </w:pPr>
            <w:r>
              <w:rPr/>
              <w:drawing>
                <wp:inline distT="0" distB="0" distL="0" distR="0">
                  <wp:extent cx="2238375" cy="6438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4223" t="0" r="0" b="8460"/>
                          <a:stretch>
                            <a:fillRect/>
                          </a:stretch>
                        </pic:blipFill>
                        <pic:spPr bwMode="auto">
                          <a:xfrm>
                            <a:off x="0" y="0"/>
                            <a:ext cx="2238375" cy="643890"/>
                          </a:xfrm>
                          <a:prstGeom prst="rect">
                            <a:avLst/>
                          </a:prstGeom>
                          <a:noFill/>
                          <a:ln w="9525">
                            <a:noFill/>
                            <a:miter lim="800000"/>
                            <a:headEnd/>
                            <a:tailEnd/>
                          </a:ln>
                        </pic:spPr>
                      </pic:pic>
                    </a:graphicData>
                  </a:graphic>
                </wp:inline>
              </w:drawing>
            </w:r>
          </w:p>
        </w:tc>
        <w:tc>
          <w:tcPr>
            <w:tcW w:w="2732" w:type="dxa"/>
            <w:tcBorders>
              <w:top w:val="nil"/>
              <w:left w:val="nil"/>
              <w:bottom w:val="single" w:sz="4" w:space="0" w:color="00000A"/>
              <w:insideH w:val="single" w:sz="4" w:space="0" w:color="00000A"/>
              <w:right w:val="nil"/>
              <w:insideV w:val="nil"/>
            </w:tcBorders>
            <w:shd w:fill="auto" w:val="clear"/>
            <w:vAlign w:val="center"/>
          </w:tcPr>
          <w:p>
            <w:pPr>
              <w:pStyle w:val="Normal"/>
              <w:jc w:val="right"/>
              <w:rPr/>
            </w:pPr>
            <w:r>
              <w:rPr/>
            </w:r>
          </w:p>
        </w:tc>
        <w:tc>
          <w:tcPr>
            <w:tcW w:w="5720" w:type="dxa"/>
            <w:tcBorders>
              <w:top w:val="nil"/>
              <w:left w:val="nil"/>
              <w:bottom w:val="single" w:sz="4" w:space="0" w:color="00000A"/>
              <w:insideH w:val="single" w:sz="4" w:space="0" w:color="00000A"/>
              <w:right w:val="nil"/>
              <w:insideV w:val="nil"/>
            </w:tcBorders>
            <w:shd w:fill="auto" w:val="clear"/>
            <w:vAlign w:val="bottom"/>
          </w:tcPr>
          <w:p>
            <w:pPr>
              <w:pStyle w:val="Heading1Arial"/>
              <w:spacing w:before="0" w:after="120"/>
              <w:jc w:val="right"/>
              <w:rPr>
                <w:color w:val="000000"/>
                <w:sz w:val="28"/>
                <w:szCs w:val="28"/>
              </w:rPr>
            </w:pPr>
            <w:r>
              <w:rPr>
                <w:color w:val="000000"/>
                <w:sz w:val="28"/>
                <w:szCs w:val="28"/>
              </w:rPr>
              <w:t>MyEducation BC Good Practices</w:t>
            </w:r>
          </w:p>
        </w:tc>
      </w:tr>
    </w:tbl>
    <w:p>
      <w:pPr>
        <w:pStyle w:val="Normal"/>
        <w:rPr/>
      </w:pPr>
      <w:r>
        <w:rPr/>
      </w:r>
    </w:p>
    <w:tbl>
      <w:tblPr>
        <w:jc w:val="left"/>
        <w:tblInd w:w="18" w:type="dxa"/>
        <w:tblBorders>
          <w:top w:val="single" w:sz="4" w:space="0" w:color="003366"/>
          <w:left w:val="single" w:sz="4" w:space="0" w:color="003366"/>
          <w:bottom w:val="single" w:sz="4" w:space="0" w:color="003366"/>
          <w:insideH w:val="single" w:sz="4" w:space="0" w:color="003366"/>
          <w:right w:val="single" w:sz="4" w:space="0" w:color="003366"/>
          <w:insideV w:val="single" w:sz="4" w:space="0" w:color="003366"/>
        </w:tblBorders>
        <w:tblCellMar>
          <w:top w:w="0" w:type="dxa"/>
          <w:left w:w="108" w:type="dxa"/>
          <w:bottom w:w="0" w:type="dxa"/>
          <w:right w:w="108" w:type="dxa"/>
        </w:tblCellMar>
      </w:tblPr>
      <w:tblGrid>
        <w:gridCol w:w="1701"/>
        <w:gridCol w:w="6668"/>
        <w:gridCol w:w="4861"/>
      </w:tblGrid>
      <w:tr>
        <w:trPr>
          <w:tblHeader w:val="true"/>
          <w:trHeight w:val="541"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C6D9F1" w:val="clear"/>
            <w:tcMar>
              <w:left w:w="108" w:type="dxa"/>
            </w:tcMar>
            <w:vAlign w:val="center"/>
          </w:tcPr>
          <w:p>
            <w:pPr>
              <w:pStyle w:val="Normal"/>
              <w:spacing w:before="120" w:after="120"/>
              <w:jc w:val="center"/>
              <w:rPr>
                <w:rFonts w:cs="Arial"/>
                <w:b/>
              </w:rPr>
            </w:pPr>
            <w:bookmarkStart w:id="0" w:name="_Hlk175713107"/>
            <w:bookmarkEnd w:id="0"/>
            <w:r>
              <w:rPr>
                <w:rFonts w:cs="Arial"/>
                <w:b/>
              </w:rPr>
              <w:t>Topic</w:t>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C6D9F1" w:val="clear"/>
            <w:tcMar>
              <w:left w:w="108" w:type="dxa"/>
            </w:tcMar>
            <w:vAlign w:val="center"/>
          </w:tcPr>
          <w:p>
            <w:pPr>
              <w:pStyle w:val="Normal"/>
              <w:spacing w:before="120" w:after="120"/>
              <w:rPr>
                <w:rFonts w:cs="Arial"/>
                <w:b/>
              </w:rPr>
            </w:pPr>
            <w:r>
              <w:rPr>
                <w:rFonts w:cs="Arial"/>
                <w:b/>
              </w:rPr>
              <w:t>Good Practice for a Successful School Year</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C6D9F1" w:val="clear"/>
            <w:tcMar>
              <w:left w:w="108" w:type="dxa"/>
            </w:tcMar>
          </w:tcPr>
          <w:p>
            <w:pPr>
              <w:pStyle w:val="Normal"/>
              <w:spacing w:before="120" w:after="120"/>
              <w:rPr>
                <w:rFonts w:cs="Arial"/>
                <w:b/>
              </w:rPr>
            </w:pPr>
            <w:r>
              <w:rPr>
                <w:rFonts w:cs="Arial"/>
                <w:b/>
              </w:rPr>
              <w:t>Why is this important?</w:t>
            </w:r>
          </w:p>
        </w:tc>
      </w:tr>
      <w:tr>
        <w:trPr>
          <w:trHeight w:val="2843"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bookmarkStart w:id="1" w:name="_Hlk175713107"/>
            <w:bookmarkEnd w:id="1"/>
            <w:r>
              <w:rPr>
                <w:rFonts w:cs="Arial"/>
                <w:b/>
                <w:sz w:val="22"/>
                <w:szCs w:val="22"/>
              </w:rPr>
              <w:t>Standards</w:t>
            </w:r>
          </w:p>
          <w:p>
            <w:pPr>
              <w:pStyle w:val="Normal"/>
              <w:spacing w:before="120" w:after="0"/>
              <w:jc w:val="center"/>
              <w:rPr/>
            </w:pPr>
            <w:r>
              <w:rPr/>
              <w:drawing>
                <wp:inline distT="0" distB="0" distL="0" distR="0">
                  <wp:extent cx="643890" cy="5645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rcRect l="13630" t="12674" r="10059" b="20760"/>
                          <a:stretch>
                            <a:fillRect/>
                          </a:stretch>
                        </pic:blipFill>
                        <pic:spPr bwMode="auto">
                          <a:xfrm>
                            <a:off x="0" y="0"/>
                            <a:ext cx="643890" cy="564515"/>
                          </a:xfrm>
                          <a:prstGeom prst="rect">
                            <a:avLst/>
                          </a:prstGeom>
                          <a:noFill/>
                          <a:ln w="9525">
                            <a:noFill/>
                            <a:miter lim="800000"/>
                            <a:headEnd/>
                            <a:tailEnd/>
                          </a:ln>
                        </pic:spPr>
                      </pic:pic>
                    </a:graphicData>
                  </a:graphic>
                </wp:inline>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2"/>
              </w:rPr>
            </w:pPr>
            <w:r>
              <w:rPr>
                <w:rFonts w:cs="Arial"/>
                <w:b/>
                <w:sz w:val="22"/>
                <w:szCs w:val="22"/>
              </w:rPr>
              <w:t>FOIPPA Standards</w:t>
            </w:r>
          </w:p>
          <w:p>
            <w:pPr>
              <w:pStyle w:val="Normal"/>
              <w:spacing w:before="120" w:after="0"/>
              <w:rPr>
                <w:rFonts w:cs="Arial"/>
                <w:sz w:val="20"/>
                <w:szCs w:val="20"/>
              </w:rPr>
            </w:pPr>
            <w:r>
              <w:rPr>
                <w:rFonts w:cs="Arial"/>
                <w:sz w:val="20"/>
                <w:szCs w:val="20"/>
              </w:rPr>
              <w:t>Review FOIPPA policy and practices to safeguard student information.</w:t>
            </w:r>
          </w:p>
          <w:p>
            <w:pPr>
              <w:pStyle w:val="Normal"/>
              <w:spacing w:before="120" w:after="0"/>
              <w:rPr>
                <w:rFonts w:cs="Arial"/>
                <w:sz w:val="20"/>
                <w:szCs w:val="20"/>
              </w:rPr>
            </w:pPr>
            <w:r>
              <w:rPr>
                <w:rFonts w:cs="Arial"/>
                <w:sz w:val="20"/>
                <w:szCs w:val="20"/>
              </w:rPr>
              <w:t>When setting up new users or reviewing existing user access:</w:t>
            </w:r>
          </w:p>
          <w:p>
            <w:pPr>
              <w:pStyle w:val="Normal"/>
              <w:numPr>
                <w:ilvl w:val="0"/>
                <w:numId w:val="2"/>
              </w:numPr>
              <w:spacing w:before="20" w:after="20"/>
              <w:ind w:left="612" w:right="0" w:hanging="360"/>
              <w:rPr>
                <w:rFonts w:cs="Arial"/>
                <w:sz w:val="20"/>
                <w:szCs w:val="20"/>
              </w:rPr>
            </w:pPr>
            <w:r>
              <w:rPr>
                <w:rFonts w:cs="Arial"/>
                <w:sz w:val="20"/>
                <w:szCs w:val="20"/>
              </w:rPr>
              <w:t>Avoid or minimize use of all-inclusive security roles.</w:t>
            </w:r>
          </w:p>
          <w:p>
            <w:pPr>
              <w:pStyle w:val="Normal"/>
              <w:spacing w:before="120" w:after="0"/>
              <w:rPr>
                <w:rFonts w:cs="Arial"/>
                <w:sz w:val="20"/>
                <w:szCs w:val="20"/>
              </w:rPr>
            </w:pPr>
            <w:r>
              <w:rPr>
                <w:rFonts w:cs="Arial"/>
                <w:sz w:val="20"/>
                <w:szCs w:val="20"/>
              </w:rPr>
              <w:t>All users should:</w:t>
            </w:r>
          </w:p>
          <w:p>
            <w:pPr>
              <w:pStyle w:val="Normal"/>
              <w:numPr>
                <w:ilvl w:val="0"/>
                <w:numId w:val="2"/>
              </w:numPr>
              <w:spacing w:before="20" w:after="20"/>
              <w:ind w:left="612" w:right="0" w:hanging="360"/>
              <w:rPr>
                <w:rFonts w:cs="Arial"/>
                <w:sz w:val="20"/>
                <w:szCs w:val="20"/>
              </w:rPr>
            </w:pPr>
            <w:r>
              <w:rPr>
                <w:rFonts w:cs="Arial"/>
                <w:sz w:val="20"/>
                <w:szCs w:val="20"/>
              </w:rPr>
              <w:t xml:space="preserve">Lock their computer when stepping away from it for </w:t>
            </w:r>
            <w:r>
              <w:rPr>
                <w:rFonts w:cs="Arial"/>
                <w:i/>
                <w:sz w:val="20"/>
                <w:szCs w:val="20"/>
              </w:rPr>
              <w:t>any</w:t>
            </w:r>
            <w:r>
              <w:rPr>
                <w:rFonts w:cs="Arial"/>
                <w:sz w:val="20"/>
                <w:szCs w:val="20"/>
              </w:rPr>
              <w:t xml:space="preserve"> length of time. </w:t>
            </w:r>
          </w:p>
          <w:p>
            <w:pPr>
              <w:pStyle w:val="Normal"/>
              <w:numPr>
                <w:ilvl w:val="0"/>
                <w:numId w:val="2"/>
              </w:numPr>
              <w:spacing w:before="20" w:after="20"/>
              <w:ind w:left="612" w:right="0" w:hanging="360"/>
              <w:rPr>
                <w:rFonts w:cs="Arial"/>
                <w:sz w:val="20"/>
                <w:szCs w:val="20"/>
              </w:rPr>
            </w:pPr>
            <w:r>
              <w:rPr>
                <w:rFonts w:cs="Arial"/>
                <w:sz w:val="20"/>
                <w:szCs w:val="20"/>
              </w:rPr>
              <w:t xml:space="preserve">Keep passwords secure; do not share them with another user, </w:t>
              <w:br/>
              <w:t>or record them where they could easily be found.</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Ensuring that student and other sensitive Information is safe from purposeful or unintentional exposure is everyone’s responsibility.</w:t>
            </w:r>
          </w:p>
          <w:p>
            <w:pPr>
              <w:pStyle w:val="Normal"/>
              <w:spacing w:before="120" w:after="0"/>
              <w:rPr>
                <w:rFonts w:cs="Arial"/>
                <w:sz w:val="20"/>
                <w:szCs w:val="20"/>
              </w:rPr>
            </w:pPr>
            <w:r>
              <w:rPr>
                <w:rFonts w:cs="Arial"/>
                <w:sz w:val="20"/>
                <w:szCs w:val="20"/>
              </w:rPr>
              <w:t>Establishing and maintaining good daily practices will prevent serious potential security and privacy risks for MyEducation BC, including:</w:t>
            </w:r>
          </w:p>
          <w:p>
            <w:pPr>
              <w:pStyle w:val="Normal"/>
              <w:numPr>
                <w:ilvl w:val="0"/>
                <w:numId w:val="2"/>
              </w:numPr>
              <w:spacing w:before="20" w:after="20"/>
              <w:ind w:left="612" w:right="0" w:hanging="360"/>
              <w:rPr>
                <w:rFonts w:cs="Arial"/>
                <w:sz w:val="20"/>
                <w:szCs w:val="20"/>
              </w:rPr>
            </w:pPr>
            <w:r>
              <w:rPr>
                <w:rFonts w:cs="Arial"/>
                <w:sz w:val="20"/>
                <w:szCs w:val="20"/>
              </w:rPr>
              <w:t>Data corruption</w:t>
            </w:r>
          </w:p>
          <w:p>
            <w:pPr>
              <w:pStyle w:val="Normal"/>
              <w:numPr>
                <w:ilvl w:val="0"/>
                <w:numId w:val="2"/>
              </w:numPr>
              <w:spacing w:before="20" w:after="20"/>
              <w:ind w:left="612" w:right="0" w:hanging="360"/>
              <w:rPr>
                <w:rFonts w:cs="Arial"/>
                <w:sz w:val="20"/>
                <w:szCs w:val="20"/>
              </w:rPr>
            </w:pPr>
            <w:r>
              <w:rPr>
                <w:rFonts w:cs="Arial"/>
                <w:sz w:val="20"/>
                <w:szCs w:val="20"/>
              </w:rPr>
              <w:t>Loss of data</w:t>
            </w:r>
          </w:p>
          <w:p>
            <w:pPr>
              <w:pStyle w:val="Normal"/>
              <w:numPr>
                <w:ilvl w:val="0"/>
                <w:numId w:val="2"/>
              </w:numPr>
              <w:spacing w:before="20" w:after="20"/>
              <w:ind w:left="612" w:right="0" w:hanging="360"/>
              <w:rPr>
                <w:rFonts w:cs="Arial"/>
                <w:sz w:val="20"/>
                <w:szCs w:val="20"/>
              </w:rPr>
            </w:pPr>
            <w:r>
              <w:rPr>
                <w:rFonts w:cs="Arial"/>
                <w:sz w:val="20"/>
                <w:szCs w:val="20"/>
              </w:rPr>
              <w:t>Exposure of sensitive personal information</w:t>
            </w:r>
          </w:p>
        </w:tc>
      </w:tr>
      <w:tr>
        <w:trPr>
          <w:trHeight w:val="2465"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Standards</w:t>
            </w:r>
          </w:p>
          <w:p>
            <w:pPr>
              <w:pStyle w:val="Normal"/>
              <w:spacing w:before="120" w:after="0"/>
              <w:jc w:val="center"/>
              <w:rPr/>
            </w:pPr>
            <w:r>
              <w:rPr/>
              <w:drawing>
                <wp:inline distT="0" distB="0" distL="0" distR="0">
                  <wp:extent cx="643890" cy="56451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rcRect l="13630" t="12674" r="10059" b="20760"/>
                          <a:stretch>
                            <a:fillRect/>
                          </a:stretch>
                        </pic:blipFill>
                        <pic:spPr bwMode="auto">
                          <a:xfrm>
                            <a:off x="0" y="0"/>
                            <a:ext cx="643890" cy="564515"/>
                          </a:xfrm>
                          <a:prstGeom prst="rect">
                            <a:avLst/>
                          </a:prstGeom>
                          <a:noFill/>
                          <a:ln w="9525">
                            <a:noFill/>
                            <a:miter lim="800000"/>
                            <a:headEnd/>
                            <a:tailEnd/>
                          </a:ln>
                        </pic:spPr>
                      </pic:pic>
                    </a:graphicData>
                  </a:graphic>
                </wp:inline>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2"/>
              </w:rPr>
            </w:pPr>
            <w:r>
              <w:rPr>
                <w:rFonts w:cs="Arial"/>
                <w:b/>
                <w:sz w:val="22"/>
                <w:szCs w:val="22"/>
              </w:rPr>
              <w:t>Standards Manual\</w:t>
            </w:r>
          </w:p>
          <w:p>
            <w:pPr>
              <w:pStyle w:val="Normal"/>
              <w:spacing w:before="120" w:after="0"/>
              <w:rPr>
                <w:rFonts w:cs="Arial"/>
                <w:sz w:val="20"/>
                <w:szCs w:val="20"/>
              </w:rPr>
            </w:pPr>
            <w:r>
              <w:rPr>
                <w:rFonts w:cs="Arial"/>
                <w:sz w:val="20"/>
                <w:szCs w:val="20"/>
              </w:rPr>
              <w:t>The MyEducation BC Standards Manual is currently in draft form but should still be referenced for</w:t>
            </w:r>
            <w:r>
              <w:rPr>
                <w:rFonts w:cs="Arial"/>
                <w:b/>
                <w:sz w:val="20"/>
                <w:szCs w:val="20"/>
              </w:rPr>
              <w:t xml:space="preserve"> </w:t>
            </w:r>
            <w:r>
              <w:rPr>
                <w:rFonts w:cs="Arial"/>
                <w:sz w:val="20"/>
                <w:szCs w:val="20"/>
              </w:rPr>
              <w:t xml:space="preserve">provincially-defined standards and practices. </w:t>
            </w:r>
          </w:p>
          <w:p>
            <w:pPr>
              <w:pStyle w:val="Normal"/>
              <w:spacing w:before="120" w:after="0"/>
              <w:rPr>
                <w:rFonts w:cs="Arial"/>
                <w:sz w:val="20"/>
                <w:szCs w:val="20"/>
              </w:rPr>
            </w:pPr>
            <w:r>
              <w:rPr>
                <w:rFonts w:cs="Arial"/>
                <w:sz w:val="20"/>
                <w:szCs w:val="20"/>
              </w:rPr>
              <w:t xml:space="preserve">Keep up to date by referencing the latest version of the manual. Implement changes to current or legacy local standards or practices if these are not aligned with the Manual’s definitions. </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MyEducation BC is being used by all districts in the province, to varying degrees.</w:t>
            </w:r>
          </w:p>
          <w:p>
            <w:pPr>
              <w:pStyle w:val="Normal"/>
              <w:spacing w:before="120" w:after="120"/>
              <w:rPr>
                <w:rFonts w:cs="Arial"/>
                <w:sz w:val="20"/>
                <w:szCs w:val="20"/>
              </w:rPr>
            </w:pPr>
            <w:r>
              <w:rPr>
                <w:rFonts w:cs="Arial"/>
                <w:sz w:val="20"/>
                <w:szCs w:val="20"/>
              </w:rPr>
              <w:t>The MyEducation BC Standards</w:t>
            </w:r>
            <w:r>
              <w:rPr>
                <w:rFonts w:cs="Arial"/>
                <w:b/>
                <w:sz w:val="20"/>
                <w:szCs w:val="20"/>
              </w:rPr>
              <w:t xml:space="preserve"> </w:t>
            </w:r>
            <w:r>
              <w:rPr>
                <w:rFonts w:cs="Arial"/>
                <w:sz w:val="20"/>
                <w:szCs w:val="20"/>
              </w:rPr>
              <w:t xml:space="preserve">Manual is a living document which details the latest standard practices and which naturally evolves over time. Knowing and following the standards defined in the Manual will establish and maintain data consistency for all districts </w:t>
            </w:r>
          </w:p>
        </w:tc>
      </w:tr>
      <w:tr>
        <w:trPr>
          <w:trHeight w:val="1899"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Access</w:t>
              <w:drawing>
                <wp:anchor behindDoc="0" distT="0" distB="0" distL="114300" distR="114300" simplePos="0" locked="0" layoutInCell="1" allowOverlap="1" relativeHeight="0">
                  <wp:simplePos x="0" y="0"/>
                  <wp:positionH relativeFrom="column">
                    <wp:posOffset>85725</wp:posOffset>
                  </wp:positionH>
                  <wp:positionV relativeFrom="paragraph">
                    <wp:posOffset>388620</wp:posOffset>
                  </wp:positionV>
                  <wp:extent cx="647700" cy="647700"/>
                  <wp:effectExtent l="0" t="0" r="0" b="0"/>
                  <wp:wrapSquare wrapText="bothSides"/>
                  <wp:docPr id="3" name="Picture"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top-sign"/>
                          <pic:cNvPicPr>
                            <a:picLocks noChangeAspect="1" noChangeArrowheads="1"/>
                          </pic:cNvPicPr>
                        </pic:nvPicPr>
                        <pic:blipFill>
                          <a:blip r:embed="rId5"/>
                          <a:stretch>
                            <a:fillRect/>
                          </a:stretch>
                        </pic:blipFill>
                        <pic:spPr bwMode="auto">
                          <a:xfrm>
                            <a:off x="0" y="0"/>
                            <a:ext cx="647700" cy="647700"/>
                          </a:xfrm>
                          <a:prstGeom prst="rect">
                            <a:avLst/>
                          </a:prstGeom>
                          <a:noFill/>
                          <a:ln w="9525">
                            <a:noFill/>
                            <a:miter lim="800000"/>
                            <a:headEnd/>
                            <a:tailEnd/>
                          </a:ln>
                        </pic:spPr>
                      </pic:pic>
                    </a:graphicData>
                  </a:graphic>
                </wp:anchor>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0"/>
              </w:rPr>
            </w:pPr>
            <w:r>
              <w:rPr>
                <w:rFonts w:cs="Arial"/>
                <w:b/>
                <w:sz w:val="22"/>
                <w:szCs w:val="20"/>
              </w:rPr>
              <w:t>Log-ins</w:t>
            </w:r>
          </w:p>
          <w:p>
            <w:pPr>
              <w:pStyle w:val="Normal"/>
              <w:spacing w:before="120" w:after="0"/>
              <w:rPr>
                <w:rFonts w:cs="Arial"/>
                <w:sz w:val="20"/>
                <w:szCs w:val="20"/>
              </w:rPr>
            </w:pPr>
            <w:r>
              <w:rPr>
                <w:rFonts w:cs="Arial"/>
                <w:sz w:val="20"/>
                <w:szCs w:val="20"/>
              </w:rPr>
              <w:t>Only have one active log-in at a time.</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 xml:space="preserve">This reduces the number of active accounts logged into MyEducation BC and enhances performance.  Furthermore, it reduces the possibility of a conflict when updating and saving data that can occur when two accounts with the same log-in credentials are open. </w:t>
            </w:r>
          </w:p>
        </w:tc>
      </w:tr>
      <w:tr>
        <w:trPr>
          <w:trHeight w:val="1849"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Access</w:t>
            </w:r>
          </w:p>
          <w:p>
            <w:pPr>
              <w:pStyle w:val="Normal"/>
              <w:spacing w:before="120" w:after="0"/>
              <w:jc w:val="center"/>
              <w:rPr/>
            </w:pPr>
            <w:r>
              <w:rPr/>
              <w:drawing>
                <wp:inline distT="0" distB="0" distL="0" distR="0">
                  <wp:extent cx="643890" cy="56451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rcRect l="13630" t="12674" r="10059" b="20760"/>
                          <a:stretch>
                            <a:fillRect/>
                          </a:stretch>
                        </pic:blipFill>
                        <pic:spPr bwMode="auto">
                          <a:xfrm>
                            <a:off x="0" y="0"/>
                            <a:ext cx="643890" cy="564515"/>
                          </a:xfrm>
                          <a:prstGeom prst="rect">
                            <a:avLst/>
                          </a:prstGeom>
                          <a:noFill/>
                          <a:ln w="9525">
                            <a:noFill/>
                            <a:miter lim="800000"/>
                            <a:headEnd/>
                            <a:tailEnd/>
                          </a:ln>
                        </pic:spPr>
                      </pic:pic>
                    </a:graphicData>
                  </a:graphic>
                </wp:inline>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0"/>
              </w:rPr>
            </w:pPr>
            <w:r>
              <w:rPr>
                <w:rFonts w:cs="Arial"/>
                <w:b/>
                <w:sz w:val="22"/>
                <w:szCs w:val="20"/>
              </w:rPr>
              <w:t>Logging Off</w:t>
            </w:r>
          </w:p>
          <w:p>
            <w:pPr>
              <w:pStyle w:val="Normal"/>
              <w:spacing w:before="120" w:after="0"/>
              <w:rPr>
                <w:rFonts w:cs="Arial"/>
                <w:sz w:val="20"/>
                <w:szCs w:val="20"/>
              </w:rPr>
            </w:pPr>
            <w:r>
              <w:rPr>
                <w:rFonts w:cs="Arial"/>
                <w:sz w:val="20"/>
                <w:szCs w:val="20"/>
              </w:rPr>
              <w:t xml:space="preserve">Use the </w:t>
            </w:r>
            <w:r>
              <w:rPr>
                <w:rFonts w:cs="Arial"/>
                <w:b/>
                <w:sz w:val="20"/>
                <w:szCs w:val="20"/>
              </w:rPr>
              <w:t>Log Off</w:t>
            </w:r>
            <w:r>
              <w:rPr>
                <w:rFonts w:cs="Arial"/>
                <w:sz w:val="20"/>
                <w:szCs w:val="20"/>
              </w:rPr>
              <w:t xml:space="preserve"> button in the menu bar when exiting the system.  </w:t>
            </w:r>
          </w:p>
          <w:p>
            <w:pPr>
              <w:pStyle w:val="Normal"/>
              <w:spacing w:before="120" w:after="0"/>
              <w:rPr>
                <w:rFonts w:cs="Arial"/>
                <w:sz w:val="20"/>
                <w:szCs w:val="20"/>
              </w:rPr>
            </w:pPr>
            <w:r>
              <w:rPr>
                <w:rFonts w:cs="Arial"/>
                <w:sz w:val="20"/>
                <w:szCs w:val="20"/>
              </w:rPr>
            </w:r>
          </w:p>
          <w:p>
            <w:pPr>
              <w:pStyle w:val="Normal"/>
              <w:spacing w:before="120" w:after="0"/>
              <w:rPr/>
            </w:pPr>
            <w:r>
              <w:rPr/>
              <w:drawing>
                <wp:inline distT="0" distB="0" distL="0" distR="0">
                  <wp:extent cx="3866515" cy="200025"/>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3866515" cy="200025"/>
                          </a:xfrm>
                          <a:prstGeom prst="rect">
                            <a:avLst/>
                          </a:prstGeom>
                          <a:noFill/>
                          <a:ln w="9525">
                            <a:noFill/>
                            <a:miter lim="800000"/>
                            <a:headEnd/>
                            <a:tailEnd/>
                          </a:ln>
                        </pic:spPr>
                      </pic:pic>
                    </a:graphicData>
                  </a:graphic>
                </wp:inline>
              </w:drawing>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This ensures your session is properly closed, contributing to system security and optimizing system resources.</w:t>
            </w:r>
          </w:p>
        </w:tc>
      </w:tr>
      <w:tr>
        <w:trPr>
          <w:trHeight w:val="1833"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Access</w:t>
              <w:drawing>
                <wp:anchor behindDoc="0" distT="0" distB="0" distL="114300" distR="114300" simplePos="0" locked="0" layoutInCell="1" allowOverlap="1" relativeHeight="1">
                  <wp:simplePos x="0" y="0"/>
                  <wp:positionH relativeFrom="column">
                    <wp:posOffset>142875</wp:posOffset>
                  </wp:positionH>
                  <wp:positionV relativeFrom="paragraph">
                    <wp:posOffset>342900</wp:posOffset>
                  </wp:positionV>
                  <wp:extent cx="647700" cy="647700"/>
                  <wp:effectExtent l="0" t="0" r="0" b="0"/>
                  <wp:wrapSquare wrapText="bothSides"/>
                  <wp:docPr id="6" name="Picture"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stop-sign"/>
                          <pic:cNvPicPr>
                            <a:picLocks noChangeAspect="1" noChangeArrowheads="1"/>
                          </pic:cNvPicPr>
                        </pic:nvPicPr>
                        <pic:blipFill>
                          <a:blip r:embed="rId8"/>
                          <a:stretch>
                            <a:fillRect/>
                          </a:stretch>
                        </pic:blipFill>
                        <pic:spPr bwMode="auto">
                          <a:xfrm>
                            <a:off x="0" y="0"/>
                            <a:ext cx="647700" cy="647700"/>
                          </a:xfrm>
                          <a:prstGeom prst="rect">
                            <a:avLst/>
                          </a:prstGeom>
                          <a:noFill/>
                          <a:ln w="9525">
                            <a:noFill/>
                            <a:miter lim="800000"/>
                            <a:headEnd/>
                            <a:tailEnd/>
                          </a:ln>
                        </pic:spPr>
                      </pic:pic>
                    </a:graphicData>
                  </a:graphic>
                </wp:anchor>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2"/>
              </w:rPr>
            </w:pPr>
            <w:r>
              <w:rPr>
                <w:rFonts w:cs="Arial"/>
                <w:b/>
                <w:sz w:val="22"/>
                <w:szCs w:val="22"/>
              </w:rPr>
              <w:t>Do not share log-in credentials!</w:t>
            </w:r>
          </w:p>
          <w:p>
            <w:pPr>
              <w:pStyle w:val="Normal"/>
              <w:spacing w:before="120" w:after="0"/>
              <w:rPr>
                <w:rFonts w:cs="Arial"/>
                <w:b/>
                <w:i/>
                <w:sz w:val="20"/>
                <w:szCs w:val="20"/>
              </w:rPr>
            </w:pPr>
            <w:r>
              <w:rPr>
                <w:rFonts w:cs="Arial"/>
                <w:b/>
                <w:i/>
                <w:sz w:val="20"/>
                <w:szCs w:val="20"/>
              </w:rPr>
              <w:t xml:space="preserve">Never share your login ID and password with another user.   </w:t>
            </w:r>
          </w:p>
          <w:p>
            <w:pPr>
              <w:pStyle w:val="Normal"/>
              <w:spacing w:before="120" w:after="0"/>
              <w:rPr>
                <w:rFonts w:cs="Arial"/>
                <w:sz w:val="20"/>
                <w:szCs w:val="20"/>
              </w:rPr>
            </w:pPr>
            <w:r>
              <w:rPr>
                <w:rFonts w:cs="Arial"/>
                <w:sz w:val="20"/>
                <w:szCs w:val="20"/>
              </w:rPr>
              <w:t>Each user is required to have unique log-in credentials so that they will only be able to access information to which they are entitled.</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 xml:space="preserve">This is important to ensuring data security and integrity.  Each user is responsible for the activity in the system that takes place using their log-in credentials. </w:t>
            </w:r>
          </w:p>
        </w:tc>
      </w:tr>
      <w:tr>
        <w:trPr>
          <w:trHeight w:val="2398"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Performance</w:t>
            </w:r>
          </w:p>
          <w:p>
            <w:pPr>
              <w:pStyle w:val="Normal"/>
              <w:spacing w:before="120" w:after="0"/>
              <w:jc w:val="center"/>
              <w:rPr/>
            </w:pPr>
            <w:r>
              <w:rPr/>
              <w:drawing>
                <wp:inline distT="0" distB="0" distL="0" distR="0">
                  <wp:extent cx="643890" cy="56451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rcRect l="13630" t="12674" r="10059" b="20760"/>
                          <a:stretch>
                            <a:fillRect/>
                          </a:stretch>
                        </pic:blipFill>
                        <pic:spPr bwMode="auto">
                          <a:xfrm>
                            <a:off x="0" y="0"/>
                            <a:ext cx="643890" cy="564515"/>
                          </a:xfrm>
                          <a:prstGeom prst="rect">
                            <a:avLst/>
                          </a:prstGeom>
                          <a:noFill/>
                          <a:ln w="9525">
                            <a:noFill/>
                            <a:miter lim="800000"/>
                            <a:headEnd/>
                            <a:tailEnd/>
                          </a:ln>
                        </pic:spPr>
                      </pic:pic>
                    </a:graphicData>
                  </a:graphic>
                </wp:inline>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2"/>
              </w:rPr>
            </w:pPr>
            <w:r>
              <w:rPr>
                <w:rFonts w:cs="Arial"/>
                <w:b/>
                <w:sz w:val="22"/>
                <w:szCs w:val="22"/>
              </w:rPr>
              <w:t>GDE  Usage / High volume reports &amp; scheduled jobs</w:t>
            </w:r>
          </w:p>
          <w:p>
            <w:pPr>
              <w:pStyle w:val="Normal"/>
              <w:spacing w:before="120" w:after="0"/>
              <w:rPr>
                <w:rFonts w:cs="Arial"/>
                <w:b/>
                <w:i/>
                <w:sz w:val="20"/>
                <w:szCs w:val="20"/>
              </w:rPr>
            </w:pPr>
            <w:r>
              <w:rPr>
                <w:rFonts w:cs="Arial"/>
                <w:b/>
                <w:i/>
                <w:sz w:val="20"/>
                <w:szCs w:val="20"/>
              </w:rPr>
              <w:t>PLAN AHEAD WHENEVER POSSIBLE!</w:t>
            </w:r>
          </w:p>
          <w:p>
            <w:pPr>
              <w:pStyle w:val="Normal"/>
              <w:numPr>
                <w:ilvl w:val="0"/>
                <w:numId w:val="2"/>
              </w:numPr>
              <w:spacing w:before="20" w:after="20"/>
              <w:ind w:left="612" w:right="0" w:hanging="360"/>
              <w:rPr>
                <w:rFonts w:cs="Arial"/>
                <w:sz w:val="20"/>
                <w:szCs w:val="20"/>
              </w:rPr>
            </w:pPr>
            <w:r>
              <w:rPr>
                <w:rFonts w:cs="Arial"/>
                <w:sz w:val="20"/>
                <w:szCs w:val="20"/>
              </w:rPr>
              <w:t>Run GDEs and scheduled extract jobs during low volume times Allow large reports sufficient time to complete!</w:t>
            </w:r>
          </w:p>
          <w:p>
            <w:pPr>
              <w:pStyle w:val="Normal"/>
              <w:spacing w:before="120" w:after="0"/>
              <w:rPr>
                <w:rFonts w:cs="Arial"/>
                <w:sz w:val="20"/>
                <w:szCs w:val="20"/>
              </w:rPr>
            </w:pPr>
            <w:r>
              <w:rPr>
                <w:rFonts w:cs="Arial"/>
                <w:sz w:val="20"/>
                <w:szCs w:val="20"/>
              </w:rPr>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Running General Data Extracts and high volume extracts during peak traffic times (8am – 4pm PT) monopolizes system resources needed by other users.</w:t>
            </w:r>
          </w:p>
          <w:p>
            <w:pPr>
              <w:pStyle w:val="Normal"/>
              <w:spacing w:before="120" w:after="120"/>
              <w:rPr>
                <w:rFonts w:cs="Arial"/>
                <w:sz w:val="20"/>
                <w:szCs w:val="20"/>
              </w:rPr>
            </w:pPr>
            <w:r>
              <w:rPr>
                <w:rFonts w:cs="Arial"/>
                <w:sz w:val="20"/>
                <w:szCs w:val="20"/>
              </w:rPr>
              <w:t xml:space="preserve">Clicking the X only closes the report window on the workstation. The report continues to run on the server. Resubmitting the report only increases the runtime for both. </w:t>
            </w:r>
          </w:p>
          <w:p>
            <w:pPr>
              <w:pStyle w:val="Normal"/>
              <w:spacing w:before="120" w:after="120"/>
              <w:rPr>
                <w:rFonts w:cs="Arial"/>
                <w:sz w:val="20"/>
                <w:szCs w:val="20"/>
              </w:rPr>
            </w:pPr>
            <w:r>
              <w:rPr>
                <w:rFonts w:cs="Arial"/>
                <w:sz w:val="20"/>
                <w:szCs w:val="20"/>
              </w:rPr>
              <w:t>Once a report has started it cannot be terminated.  Forcing the application to close, for example, will not stop the report.</w:t>
            </w:r>
          </w:p>
        </w:tc>
      </w:tr>
      <w:tr>
        <w:trPr>
          <w:trHeight w:val="1601"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Performance</w:t>
            </w:r>
          </w:p>
          <w:p>
            <w:pPr>
              <w:pStyle w:val="Normal"/>
              <w:spacing w:before="120" w:after="0"/>
              <w:jc w:val="center"/>
              <w:rPr/>
            </w:pPr>
            <w:r>
              <w:rPr/>
              <w:drawing>
                <wp:inline distT="0" distB="0" distL="0" distR="0">
                  <wp:extent cx="643890" cy="56451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rcRect l="13630" t="12674" r="10059" b="20760"/>
                          <a:stretch>
                            <a:fillRect/>
                          </a:stretch>
                        </pic:blipFill>
                        <pic:spPr bwMode="auto">
                          <a:xfrm>
                            <a:off x="0" y="0"/>
                            <a:ext cx="643890" cy="564515"/>
                          </a:xfrm>
                          <a:prstGeom prst="rect">
                            <a:avLst/>
                          </a:prstGeom>
                          <a:noFill/>
                          <a:ln w="9525">
                            <a:noFill/>
                            <a:miter lim="800000"/>
                            <a:headEnd/>
                            <a:tailEnd/>
                          </a:ln>
                        </pic:spPr>
                      </pic:pic>
                    </a:graphicData>
                  </a:graphic>
                </wp:inline>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2"/>
              </w:rPr>
            </w:pPr>
            <w:r>
              <w:rPr>
                <w:rFonts w:cs="Arial"/>
                <w:b/>
                <w:sz w:val="22"/>
                <w:szCs w:val="22"/>
              </w:rPr>
              <w:t>Clearing the Browser Cache</w:t>
            </w:r>
          </w:p>
          <w:p>
            <w:pPr>
              <w:pStyle w:val="Normal"/>
              <w:spacing w:before="120" w:after="0"/>
              <w:rPr>
                <w:rFonts w:cs="Arial"/>
                <w:sz w:val="20"/>
                <w:szCs w:val="20"/>
              </w:rPr>
            </w:pPr>
            <w:r>
              <w:rPr>
                <w:rFonts w:cs="Arial"/>
                <w:sz w:val="20"/>
                <w:szCs w:val="20"/>
              </w:rPr>
              <w:t>Periodically clearing your browser’s cache, especially after application enhancements and upgrades, can enhance user experience with MyEducation BC.</w:t>
            </w:r>
          </w:p>
          <w:p>
            <w:pPr>
              <w:pStyle w:val="Normal"/>
              <w:spacing w:before="120" w:after="0"/>
              <w:rPr>
                <w:rFonts w:cs="Arial"/>
                <w:sz w:val="20"/>
                <w:szCs w:val="20"/>
              </w:rPr>
            </w:pPr>
            <w:r>
              <w:rPr>
                <w:rFonts w:cs="Arial"/>
                <w:sz w:val="20"/>
                <w:szCs w:val="20"/>
              </w:rPr>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sz w:val="20"/>
                <w:szCs w:val="20"/>
                <w:lang w:val="en"/>
              </w:rPr>
            </w:pPr>
            <w:r>
              <w:rPr>
                <w:sz w:val="20"/>
                <w:szCs w:val="20"/>
                <w:lang w:val="en"/>
              </w:rPr>
              <w:t>Periodic clearing of a browser’s cache ensures that the browser is reflecting the latest application upgrades.</w:t>
            </w:r>
          </w:p>
          <w:p>
            <w:pPr>
              <w:pStyle w:val="Normal"/>
              <w:spacing w:before="120" w:after="0"/>
              <w:rPr>
                <w:sz w:val="20"/>
                <w:szCs w:val="20"/>
                <w:lang w:val="en"/>
              </w:rPr>
            </w:pPr>
            <w:r>
              <w:rPr>
                <w:sz w:val="20"/>
                <w:szCs w:val="20"/>
                <w:lang w:val="en"/>
              </w:rPr>
              <w:t xml:space="preserve">For a quick page refresh, use F5 on a Windows machine and Command-R on a Mac. </w:t>
            </w:r>
          </w:p>
        </w:tc>
      </w:tr>
      <w:tr>
        <w:trPr>
          <w:trHeight w:val="2528"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Performance</w:t>
            </w:r>
          </w:p>
          <w:p>
            <w:pPr>
              <w:pStyle w:val="Normal"/>
              <w:spacing w:before="120" w:after="0"/>
              <w:jc w:val="center"/>
              <w:rPr/>
            </w:pPr>
            <w:r>
              <w:rPr/>
              <w:drawing>
                <wp:inline distT="0" distB="0" distL="0" distR="0">
                  <wp:extent cx="643890" cy="56451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rcRect l="13630" t="12674" r="10059" b="20760"/>
                          <a:stretch>
                            <a:fillRect/>
                          </a:stretch>
                        </pic:blipFill>
                        <pic:spPr bwMode="auto">
                          <a:xfrm>
                            <a:off x="0" y="0"/>
                            <a:ext cx="643890" cy="564515"/>
                          </a:xfrm>
                          <a:prstGeom prst="rect">
                            <a:avLst/>
                          </a:prstGeom>
                          <a:noFill/>
                          <a:ln w="9525">
                            <a:noFill/>
                            <a:miter lim="800000"/>
                            <a:headEnd/>
                            <a:tailEnd/>
                          </a:ln>
                        </pic:spPr>
                      </pic:pic>
                    </a:graphicData>
                  </a:graphic>
                </wp:inline>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0"/>
              </w:rPr>
            </w:pPr>
            <w:r>
              <w:rPr>
                <w:rFonts w:cs="Arial"/>
                <w:b/>
                <w:sz w:val="22"/>
                <w:szCs w:val="20"/>
              </w:rPr>
              <w:t>Student Photos</w:t>
            </w:r>
          </w:p>
          <w:p>
            <w:pPr>
              <w:pStyle w:val="Normal"/>
              <w:spacing w:before="120" w:after="0"/>
              <w:rPr>
                <w:rFonts w:cs="Arial"/>
                <w:sz w:val="20"/>
                <w:szCs w:val="20"/>
              </w:rPr>
            </w:pPr>
            <w:r>
              <w:rPr>
                <w:rFonts w:cs="Arial"/>
                <w:sz w:val="20"/>
                <w:szCs w:val="20"/>
              </w:rPr>
              <w:t>Some  important things to keep in mind when preparing to upload student photos to MyEducation BC:</w:t>
            </w:r>
          </w:p>
          <w:p>
            <w:pPr>
              <w:pStyle w:val="Normal"/>
              <w:numPr>
                <w:ilvl w:val="0"/>
                <w:numId w:val="2"/>
              </w:numPr>
              <w:spacing w:before="20" w:after="20"/>
              <w:ind w:left="612" w:right="0" w:hanging="360"/>
              <w:rPr>
                <w:rFonts w:cs="Arial"/>
                <w:sz w:val="20"/>
                <w:szCs w:val="20"/>
              </w:rPr>
            </w:pPr>
            <w:r>
              <w:rPr>
                <w:rFonts w:cs="Arial"/>
                <w:sz w:val="20"/>
                <w:szCs w:val="20"/>
              </w:rPr>
              <w:t>Make sure that new Photo companies are aware of the format standard.</w:t>
            </w:r>
          </w:p>
          <w:p>
            <w:pPr>
              <w:pStyle w:val="Normal"/>
              <w:numPr>
                <w:ilvl w:val="0"/>
                <w:numId w:val="2"/>
              </w:numPr>
              <w:spacing w:before="20" w:after="20"/>
              <w:ind w:left="612" w:right="0" w:hanging="360"/>
              <w:rPr>
                <w:rFonts w:cs="Arial"/>
                <w:sz w:val="20"/>
                <w:szCs w:val="20"/>
              </w:rPr>
            </w:pPr>
            <w:r>
              <w:rPr>
                <w:rFonts w:cs="Arial"/>
                <w:sz w:val="20"/>
                <w:szCs w:val="20"/>
              </w:rPr>
              <w:t>Ensure that all photos do not exceed the recommended maximum photo size of 15KB.</w:t>
            </w:r>
          </w:p>
          <w:p>
            <w:pPr>
              <w:pStyle w:val="Normal"/>
              <w:numPr>
                <w:ilvl w:val="0"/>
                <w:numId w:val="2"/>
              </w:numPr>
              <w:spacing w:before="20" w:after="20"/>
              <w:ind w:left="612" w:right="0" w:hanging="360"/>
              <w:rPr>
                <w:rFonts w:cs="Arial"/>
                <w:sz w:val="20"/>
                <w:szCs w:val="20"/>
              </w:rPr>
            </w:pPr>
            <w:r>
              <w:rPr>
                <w:rFonts w:cs="Arial"/>
                <w:sz w:val="20"/>
                <w:szCs w:val="20"/>
              </w:rPr>
              <w:t>Remove all staff photos before creating student photo zip files</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Maintaining the established standards for photo size minimizes potential system load and helps keep the Photo Report to a manageable size – the size increases exponentially depending on the size of the photos.</w:t>
            </w:r>
          </w:p>
          <w:p>
            <w:pPr>
              <w:pStyle w:val="Normal"/>
              <w:spacing w:before="120" w:after="0"/>
              <w:rPr>
                <w:rFonts w:cs="Arial"/>
                <w:sz w:val="20"/>
                <w:szCs w:val="20"/>
              </w:rPr>
            </w:pPr>
            <w:r>
              <w:rPr>
                <w:rFonts w:cs="Arial"/>
                <w:sz w:val="20"/>
                <w:szCs w:val="20"/>
              </w:rPr>
              <w:t>Inclusion of staff photos has caused problems in the past when they have been incorrectly associated to student records due to student numbers being the same as the staff photo id.</w:t>
            </w:r>
          </w:p>
        </w:tc>
      </w:tr>
      <w:tr>
        <w:trPr>
          <w:trHeight w:val="2033"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Data Integrity</w:t>
              <w:drawing>
                <wp:anchor behindDoc="0" distT="0" distB="0" distL="114300" distR="114300" simplePos="0" locked="0" layoutInCell="1" allowOverlap="1" relativeHeight="2">
                  <wp:simplePos x="0" y="0"/>
                  <wp:positionH relativeFrom="column">
                    <wp:posOffset>95250</wp:posOffset>
                  </wp:positionH>
                  <wp:positionV relativeFrom="paragraph">
                    <wp:posOffset>521335</wp:posOffset>
                  </wp:positionV>
                  <wp:extent cx="647700" cy="647700"/>
                  <wp:effectExtent l="0" t="0" r="0" b="0"/>
                  <wp:wrapSquare wrapText="bothSides"/>
                  <wp:docPr id="10" name="Picture"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stop-sign"/>
                          <pic:cNvPicPr>
                            <a:picLocks noChangeAspect="1" noChangeArrowheads="1"/>
                          </pic:cNvPicPr>
                        </pic:nvPicPr>
                        <pic:blipFill>
                          <a:blip r:embed="rId12"/>
                          <a:stretch>
                            <a:fillRect/>
                          </a:stretch>
                        </pic:blipFill>
                        <pic:spPr bwMode="auto">
                          <a:xfrm>
                            <a:off x="0" y="0"/>
                            <a:ext cx="647700" cy="647700"/>
                          </a:xfrm>
                          <a:prstGeom prst="rect">
                            <a:avLst/>
                          </a:prstGeom>
                          <a:noFill/>
                          <a:ln w="9525">
                            <a:noFill/>
                            <a:miter lim="800000"/>
                            <a:headEnd/>
                            <a:tailEnd/>
                          </a:ln>
                        </pic:spPr>
                      </pic:pic>
                    </a:graphicData>
                  </a:graphic>
                </wp:anchor>
              </w:drawing>
            </w:r>
          </w:p>
          <w:p>
            <w:pPr>
              <w:pStyle w:val="Normal"/>
              <w:spacing w:before="120" w:after="0"/>
              <w:jc w:val="center"/>
              <w:rPr>
                <w:rFonts w:cs="Arial"/>
                <w:b/>
                <w:sz w:val="22"/>
                <w:szCs w:val="22"/>
              </w:rPr>
            </w:pPr>
            <w:r>
              <w:rPr>
                <w:rFonts w:cs="Arial"/>
                <w:b/>
                <w:sz w:val="22"/>
                <w:szCs w:val="22"/>
              </w:rPr>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i/>
                <w:sz w:val="20"/>
                <w:szCs w:val="20"/>
              </w:rPr>
            </w:pPr>
            <w:r>
              <w:rPr>
                <w:rFonts w:cs="Arial"/>
                <w:sz w:val="20"/>
                <w:szCs w:val="20"/>
              </w:rPr>
              <w:t xml:space="preserve"> </w:t>
            </w:r>
            <w:r>
              <w:rPr>
                <w:rFonts w:cs="Arial"/>
                <w:b/>
                <w:sz w:val="22"/>
                <w:szCs w:val="22"/>
              </w:rPr>
              <w:t>Transcript Definitions</w:t>
            </w:r>
            <w:r>
              <w:rPr>
                <w:rFonts w:cs="Arial"/>
                <w:b/>
                <w:i/>
                <w:sz w:val="20"/>
                <w:szCs w:val="20"/>
              </w:rPr>
              <w:t xml:space="preserve"> </w:t>
            </w:r>
          </w:p>
          <w:p>
            <w:pPr>
              <w:pStyle w:val="Normal"/>
              <w:spacing w:before="120" w:after="0"/>
              <w:rPr>
                <w:rFonts w:cs="Arial"/>
                <w:b/>
                <w:i/>
                <w:sz w:val="20"/>
                <w:szCs w:val="20"/>
              </w:rPr>
            </w:pPr>
            <w:r>
              <w:rPr>
                <w:rFonts w:cs="Arial"/>
                <w:b/>
                <w:i/>
                <w:sz w:val="20"/>
                <w:szCs w:val="20"/>
              </w:rPr>
              <w:t>DO NOT CHANGE TRANSCRIPT DEFINITIONS ANY TIME AFTER MARKS HAVE BEEN ENTERED.</w:t>
            </w:r>
          </w:p>
          <w:p>
            <w:pPr>
              <w:pStyle w:val="Normal"/>
              <w:spacing w:before="120" w:after="0"/>
              <w:rPr>
                <w:rFonts w:cs="Arial"/>
                <w:sz w:val="20"/>
                <w:szCs w:val="20"/>
              </w:rPr>
            </w:pPr>
            <w:r>
              <w:rPr>
                <w:rFonts w:cs="Arial"/>
                <w:sz w:val="20"/>
                <w:szCs w:val="20"/>
              </w:rPr>
              <w:t xml:space="preserve"> </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 xml:space="preserve">Grade columns are created based on the transcript definition assigned to the course.  Posting grades creates a student transcript record based on this transcript definition.  If the transcript definition is changed mid-year, the student transcript record cannot be updated without manual re-entry of data for all sections of the course.  </w:t>
            </w:r>
          </w:p>
        </w:tc>
      </w:tr>
      <w:tr>
        <w:trPr>
          <w:trHeight w:val="2339"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Data Integrity</w:t>
            </w:r>
          </w:p>
          <w:p>
            <w:pPr>
              <w:pStyle w:val="Normal"/>
              <w:spacing w:before="120" w:after="0"/>
              <w:jc w:val="center"/>
              <w:rPr>
                <w:rFonts w:cs="Arial"/>
                <w:b/>
                <w:sz w:val="22"/>
                <w:szCs w:val="22"/>
              </w:rPr>
            </w:pPr>
            <w:r>
              <w:rPr>
                <w:rFonts w:cs="Arial"/>
                <w:b/>
                <w:sz w:val="22"/>
                <w:szCs w:val="22"/>
              </w:rPr>
            </w:r>
          </w:p>
          <w:p>
            <w:pPr>
              <w:pStyle w:val="Normal"/>
              <w:spacing w:before="120" w:after="0"/>
              <w:jc w:val="center"/>
              <w:rPr/>
            </w:pPr>
            <w:r>
              <w:rPr/>
              <w:drawing>
                <wp:inline distT="0" distB="0" distL="0" distR="0">
                  <wp:extent cx="643890" cy="564515"/>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3"/>
                          <a:srcRect l="13630" t="12674" r="10059" b="20760"/>
                          <a:stretch>
                            <a:fillRect/>
                          </a:stretch>
                        </pic:blipFill>
                        <pic:spPr bwMode="auto">
                          <a:xfrm>
                            <a:off x="0" y="0"/>
                            <a:ext cx="643890" cy="564515"/>
                          </a:xfrm>
                          <a:prstGeom prst="rect">
                            <a:avLst/>
                          </a:prstGeom>
                          <a:noFill/>
                          <a:ln w="9525">
                            <a:noFill/>
                            <a:miter lim="800000"/>
                            <a:headEnd/>
                            <a:tailEnd/>
                          </a:ln>
                        </pic:spPr>
                      </pic:pic>
                    </a:graphicData>
                  </a:graphic>
                </wp:inline>
              </w:drawing>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2"/>
              </w:rPr>
            </w:pPr>
            <w:r>
              <w:rPr>
                <w:rFonts w:cs="Arial"/>
                <w:b/>
                <w:sz w:val="22"/>
                <w:szCs w:val="22"/>
              </w:rPr>
              <w:t>Ensure the support documentation you are using is current and applicable</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When referring to MyEducation BC documentation for instruction, ensure you are always referencing the latest version.</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 xml:space="preserve">Aspen resources, available via the Help menu in MyEducation BC, should be referenced only where BC specific resources do not exist. Even then, the information may or may not apply. </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bookmarkStart w:id="2" w:name="_GoBack"/>
            <w:bookmarkEnd w:id="2"/>
            <w:r>
              <w:rPr>
                <w:rFonts w:cs="Arial"/>
                <w:sz w:val="20"/>
                <w:szCs w:val="20"/>
              </w:rPr>
              <w:t xml:space="preserve">MyEducation BC documents are continually updated as the application evolves and as upgrades and enhancements are applied.  </w:t>
            </w:r>
          </w:p>
          <w:p>
            <w:pPr>
              <w:pStyle w:val="Normal"/>
              <w:spacing w:before="120" w:after="0"/>
              <w:rPr>
                <w:rFonts w:cs="Arial"/>
                <w:sz w:val="20"/>
                <w:szCs w:val="20"/>
              </w:rPr>
            </w:pPr>
            <w:r>
              <w:rPr>
                <w:rFonts w:cs="Arial"/>
                <w:sz w:val="20"/>
                <w:szCs w:val="20"/>
              </w:rPr>
              <w:t>This is particularly important when reviewing on-line recording for learning events where a document was issued through the Elluminate session.  The document issued through the recorded session is likely not the most current.</w:t>
            </w:r>
          </w:p>
        </w:tc>
      </w:tr>
      <w:tr>
        <w:trPr>
          <w:trHeight w:val="2501" w:hRule="atLeast"/>
          <w:cantSplit w:val="true"/>
        </w:trPr>
        <w:tc>
          <w:tcPr>
            <w:tcW w:w="170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jc w:val="center"/>
              <w:rPr>
                <w:rFonts w:cs="Arial"/>
                <w:b/>
                <w:sz w:val="22"/>
                <w:szCs w:val="22"/>
              </w:rPr>
            </w:pPr>
            <w:r>
              <w:rPr>
                <w:rFonts w:cs="Arial"/>
                <w:b/>
                <w:sz w:val="22"/>
                <w:szCs w:val="22"/>
              </w:rPr>
              <w:t>Data Integrity</w:t>
            </w:r>
          </w:p>
          <w:p>
            <w:pPr>
              <w:pStyle w:val="Normal"/>
              <w:spacing w:before="120" w:after="0"/>
              <w:jc w:val="center"/>
              <w:rPr>
                <w:rFonts w:cs="Arial"/>
                <w:b/>
                <w:sz w:val="22"/>
                <w:szCs w:val="22"/>
              </w:rPr>
            </w:pPr>
            <w:r>
              <w:rPr>
                <w:rFonts w:cs="Arial"/>
                <w:b/>
                <w:sz w:val="22"/>
                <w:szCs w:val="22"/>
              </w:rPr>
              <w:drawing>
                <wp:anchor behindDoc="0" distT="0" distB="0" distL="114300" distR="114300" simplePos="0" locked="0" layoutInCell="1" allowOverlap="1" relativeHeight="3">
                  <wp:simplePos x="0" y="0"/>
                  <wp:positionH relativeFrom="column">
                    <wp:posOffset>85725</wp:posOffset>
                  </wp:positionH>
                  <wp:positionV relativeFrom="paragraph">
                    <wp:posOffset>198120</wp:posOffset>
                  </wp:positionV>
                  <wp:extent cx="647700" cy="647700"/>
                  <wp:effectExtent l="0" t="0" r="0" b="0"/>
                  <wp:wrapSquare wrapText="bothSides"/>
                  <wp:docPr id="12" name="Picture" descr="stop-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stop-sign"/>
                          <pic:cNvPicPr>
                            <a:picLocks noChangeAspect="1" noChangeArrowheads="1"/>
                          </pic:cNvPicPr>
                        </pic:nvPicPr>
                        <pic:blipFill>
                          <a:blip r:embed="rId14"/>
                          <a:stretch>
                            <a:fillRect/>
                          </a:stretch>
                        </pic:blipFill>
                        <pic:spPr bwMode="auto">
                          <a:xfrm>
                            <a:off x="0" y="0"/>
                            <a:ext cx="647700" cy="647700"/>
                          </a:xfrm>
                          <a:prstGeom prst="rect">
                            <a:avLst/>
                          </a:prstGeom>
                          <a:noFill/>
                          <a:ln w="9525">
                            <a:noFill/>
                            <a:miter lim="800000"/>
                            <a:headEnd/>
                            <a:tailEnd/>
                          </a:ln>
                        </pic:spPr>
                      </pic:pic>
                    </a:graphicData>
                  </a:graphic>
                </wp:anchor>
              </w:drawing>
            </w:r>
          </w:p>
          <w:p>
            <w:pPr>
              <w:pStyle w:val="Normal"/>
              <w:spacing w:before="120" w:after="0"/>
              <w:jc w:val="center"/>
              <w:rPr>
                <w:rFonts w:cs="Arial"/>
                <w:b/>
                <w:sz w:val="22"/>
                <w:szCs w:val="22"/>
              </w:rPr>
            </w:pPr>
            <w:r>
              <w:rPr>
                <w:rFonts w:cs="Arial"/>
                <w:b/>
                <w:sz w:val="22"/>
                <w:szCs w:val="22"/>
              </w:rPr>
            </w:r>
          </w:p>
        </w:tc>
        <w:tc>
          <w:tcPr>
            <w:tcW w:w="6668"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b/>
                <w:sz w:val="22"/>
                <w:szCs w:val="22"/>
              </w:rPr>
            </w:pPr>
            <w:r>
              <w:rPr>
                <w:rFonts w:cs="Arial"/>
                <w:b/>
                <w:sz w:val="22"/>
                <w:szCs w:val="22"/>
              </w:rPr>
              <w:t>Pop-Up Windows and Warnings</w:t>
            </w:r>
          </w:p>
          <w:p>
            <w:pPr>
              <w:pStyle w:val="Normal"/>
              <w:spacing w:before="120" w:after="0"/>
              <w:rPr>
                <w:rFonts w:cs="Arial"/>
                <w:b/>
                <w:sz w:val="22"/>
                <w:szCs w:val="22"/>
              </w:rPr>
            </w:pPr>
            <w:r>
              <w:rPr>
                <w:rFonts w:cs="Arial"/>
                <w:b/>
                <w:sz w:val="22"/>
                <w:szCs w:val="22"/>
              </w:rPr>
            </w:r>
          </w:p>
          <w:p>
            <w:pPr>
              <w:pStyle w:val="Normal"/>
              <w:spacing w:before="120" w:after="0"/>
              <w:rPr>
                <w:rFonts w:cs="Arial"/>
                <w:sz w:val="20"/>
                <w:szCs w:val="22"/>
              </w:rPr>
            </w:pPr>
            <w:r>
              <w:rPr>
                <w:rFonts w:cs="Arial"/>
                <w:b/>
                <w:sz w:val="20"/>
                <w:szCs w:val="22"/>
              </w:rPr>
              <w:t>Stop and read these!</w:t>
            </w:r>
            <w:r>
              <w:rPr>
                <w:rFonts w:cs="Arial"/>
                <w:sz w:val="20"/>
                <w:szCs w:val="22"/>
              </w:rPr>
              <w:t xml:space="preserve">  Understand what they are saying before proceeding.  Cancel the process if you are not sure.</w:t>
            </w:r>
          </w:p>
        </w:tc>
        <w:tc>
          <w:tcPr>
            <w:tcW w:w="4861" w:type="dxa"/>
            <w:tcBorders>
              <w:top w:val="single" w:sz="4" w:space="0" w:color="003366"/>
              <w:left w:val="single" w:sz="4" w:space="0" w:color="003366"/>
              <w:bottom w:val="single" w:sz="4" w:space="0" w:color="003366"/>
              <w:insideH w:val="single" w:sz="4" w:space="0" w:color="003366"/>
              <w:right w:val="single" w:sz="4" w:space="0" w:color="003366"/>
              <w:insideV w:val="single" w:sz="4" w:space="0" w:color="003366"/>
            </w:tcBorders>
            <w:shd w:fill="auto" w:val="clear"/>
            <w:tcMar>
              <w:left w:w="108" w:type="dxa"/>
            </w:tcMar>
          </w:tcPr>
          <w:p>
            <w:pPr>
              <w:pStyle w:val="Normal"/>
              <w:spacing w:before="120" w:after="0"/>
              <w:rPr>
                <w:rFonts w:cs="Arial"/>
                <w:sz w:val="20"/>
                <w:szCs w:val="20"/>
              </w:rPr>
            </w:pPr>
            <w:r>
              <w:rPr>
                <w:rFonts w:cs="Arial"/>
                <w:sz w:val="20"/>
                <w:szCs w:val="20"/>
              </w:rPr>
              <w:t xml:space="preserve">MyEducation BC has a great deal of flexibility and functionality for updating multiple records at one time.  </w:t>
            </w:r>
          </w:p>
          <w:p>
            <w:pPr>
              <w:pStyle w:val="Normal"/>
              <w:spacing w:before="120" w:after="0"/>
              <w:rPr>
                <w:rFonts w:cs="Arial"/>
                <w:sz w:val="20"/>
                <w:szCs w:val="20"/>
              </w:rPr>
            </w:pPr>
            <w:r>
              <w:rPr>
                <w:rFonts w:cs="Arial"/>
                <w:sz w:val="20"/>
                <w:szCs w:val="20"/>
              </w:rPr>
              <w:t>Failing to read these warnings and understand exactly what will happen if you continue can lead to time-consuming manual data corrections.</w:t>
            </w:r>
          </w:p>
          <w:p>
            <w:pPr>
              <w:pStyle w:val="Normal"/>
              <w:spacing w:before="120" w:after="0"/>
              <w:rPr>
                <w:rFonts w:cs="Arial"/>
                <w:sz w:val="20"/>
                <w:szCs w:val="20"/>
              </w:rPr>
            </w:pPr>
            <w:r>
              <w:rPr>
                <w:rFonts w:cs="Arial"/>
                <w:sz w:val="20"/>
                <w:szCs w:val="20"/>
              </w:rPr>
              <w:t>Example:  A date field can be populated through mass update, but cannot be set to blank through mass update.</w:t>
            </w:r>
          </w:p>
        </w:tc>
      </w:tr>
    </w:tbl>
    <w:p>
      <w:pPr>
        <w:pStyle w:val="Normal"/>
        <w:rPr/>
      </w:pPr>
      <w:r>
        <w:rPr/>
      </w:r>
    </w:p>
    <w:sectPr>
      <w:footerReference w:type="default" r:id="rId15"/>
      <w:type w:val="nextPage"/>
      <w:pgSz w:orient="landscape" w:w="15840" w:h="12240"/>
      <w:pgMar w:left="1440" w:right="1440" w:header="0" w:top="540"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9BBB59"/>
        <w:left w:val="nil"/>
        <w:bottom w:val="nil"/>
        <w:right w:val="nil"/>
      </w:pBdr>
      <w:tabs>
        <w:tab w:val="right" w:pos="12960" w:leader="none"/>
        <w:tab w:val="right" w:pos="13680" w:leader="none"/>
      </w:tabs>
      <w:rPr>
        <w:rStyle w:val="Pagenumber"/>
        <w:sz w:val="18"/>
        <w:szCs w:val="18"/>
        <w:lang w:val="fr-CA"/>
      </w:rPr>
    </w:pPr>
    <w:r>
      <w:rPr>
        <w:sz w:val="18"/>
        <w:szCs w:val="18"/>
        <w:lang w:val="fr-CA"/>
      </w:rPr>
      <w:t>MyEducation BC Good Practices v2.1</w:t>
      <w:tab/>
      <w:t xml:space="preserve">Page </w:t>
    </w:r>
    <w:r>
      <w:rPr>
        <w:rStyle w:val="Pagenumber"/>
        <w:sz w:val="18"/>
        <w:szCs w:val="18"/>
        <w:lang w:val="fr-CA"/>
      </w:rPr>
      <w:fldChar w:fldCharType="begin"/>
    </w:r>
    <w:r>
      <w:instrText> PAGE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CA" w:eastAsia="en-CA"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e567b8"/>
    <w:pPr>
      <w:widowControl/>
      <w:suppressAutoHyphens w:val="true"/>
      <w:bidi w:val="0"/>
      <w:jc w:val="left"/>
    </w:pPr>
    <w:rPr>
      <w:rFonts w:ascii="Arial" w:hAnsi="Arial" w:eastAsia="Times New Roman" w:cs="Times New Roman"/>
      <w:color w:val="auto"/>
      <w:sz w:val="24"/>
      <w:szCs w:val="24"/>
      <w:lang w:val="en-US" w:eastAsia="en-US" w:bidi="ar-SA"/>
    </w:rPr>
  </w:style>
  <w:style w:type="paragraph" w:styleId="Heading1">
    <w:name w:val="Heading 1"/>
    <w:qFormat/>
    <w:rsid w:val="00a10359"/>
    <w:basedOn w:val="Normal"/>
    <w:next w:val="Normal"/>
    <w:pPr>
      <w:keepNext/>
      <w:spacing w:before="240" w:after="60"/>
      <w:outlineLvl w:val="0"/>
    </w:pPr>
    <w:rPr>
      <w:b/>
      <w:bCs/>
      <w:sz w:val="32"/>
      <w:szCs w:val="32"/>
    </w:rPr>
  </w:style>
  <w:style w:type="character" w:styleId="DefaultParagraphFont" w:default="1">
    <w:name w:val="Default Paragraph Font"/>
    <w:uiPriority w:val="1"/>
    <w:semiHidden/>
    <w:unhideWhenUsed/>
    <w:rPr/>
  </w:style>
  <w:style w:type="character" w:styleId="FollowedHyperlink">
    <w:name w:val="FollowedHyperlink"/>
    <w:rsid w:val="00770618"/>
    <w:rPr>
      <w:color w:val="800080"/>
      <w:u w:val="single"/>
    </w:rPr>
  </w:style>
  <w:style w:type="character" w:styleId="Searchmatch" w:customStyle="1">
    <w:name w:val="searchmatch"/>
    <w:rsid w:val="00bd4bb8"/>
    <w:basedOn w:val="DefaultParagraphFont"/>
    <w:rPr/>
  </w:style>
  <w:style w:type="character" w:styleId="Annotationreference">
    <w:name w:val="annotation reference"/>
    <w:rsid w:val="001e7b58"/>
    <w:rPr>
      <w:sz w:val="16"/>
      <w:szCs w:val="16"/>
    </w:rPr>
  </w:style>
  <w:style w:type="character" w:styleId="CommentTextChar" w:customStyle="1">
    <w:name w:val="Comment Text Char"/>
    <w:link w:val="CommentText"/>
    <w:rsid w:val="001e7b58"/>
    <w:rPr>
      <w:rFonts w:ascii="Arial" w:hAnsi="Arial"/>
      <w:lang w:val="en-US" w:eastAsia="en-US"/>
    </w:rPr>
  </w:style>
  <w:style w:type="character" w:styleId="CommentSubjectChar" w:customStyle="1">
    <w:name w:val="Comment Subject Char"/>
    <w:link w:val="CommentSubject"/>
    <w:rsid w:val="001e7b58"/>
    <w:rPr>
      <w:rFonts w:ascii="Arial" w:hAnsi="Arial"/>
      <w:b/>
      <w:bCs/>
      <w:lang w:val="en-US" w:eastAsia="en-US"/>
    </w:rPr>
  </w:style>
  <w:style w:type="character" w:styleId="FooterChar" w:customStyle="1">
    <w:name w:val="Footer Char"/>
    <w:link w:val="Footer"/>
    <w:rsid w:val="006f7e37"/>
    <w:basedOn w:val="DefaultParagraphFont"/>
    <w:rPr>
      <w:rFonts w:ascii="Arial" w:hAnsi="Arial"/>
      <w:sz w:val="24"/>
      <w:szCs w:val="24"/>
      <w:lang w:val="en-US" w:eastAsia="en-US"/>
    </w:rPr>
  </w:style>
  <w:style w:type="character" w:styleId="Pagenumber">
    <w:name w:val="page number"/>
    <w:rsid w:val="006f7e37"/>
    <w:basedOn w:val="DefaultParagraphFont"/>
    <w:rPr>
      <w:rFonts w:ascii="Arial" w:hAnsi="Arial"/>
      <w:sz w:val="16"/>
      <w:szCs w:val="16"/>
    </w:rPr>
  </w:style>
  <w:style w:type="character" w:styleId="ListLabel1">
    <w:name w:val="ListLabel 1"/>
    <w:rPr>
      <w:rFonts w:cs="Courier New"/>
    </w:rPr>
  </w:style>
  <w:style w:type="character" w:styleId="ListLabel2">
    <w:name w:val="ListLabel 2"/>
    <w:rPr>
      <w:sz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390401"/>
    <w:basedOn w:val="Normal"/>
    <w:pPr>
      <w:spacing w:lineRule="auto" w:line="288" w:before="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semiHidden/>
    <w:rsid w:val="004d07d8"/>
    <w:basedOn w:val="Normal"/>
    <w:pPr/>
    <w:rPr>
      <w:rFonts w:ascii="Tahoma" w:hAnsi="Tahoma" w:cs="Tahoma"/>
      <w:sz w:val="16"/>
      <w:szCs w:val="16"/>
    </w:rPr>
  </w:style>
  <w:style w:type="paragraph" w:styleId="ListBullet">
    <w:name w:val="List Bullet"/>
    <w:rsid w:val="002c2f8a"/>
    <w:basedOn w:val="Normal"/>
    <w:pPr>
      <w:numPr>
        <w:ilvl w:val="0"/>
        <w:numId w:val="1"/>
      </w:numPr>
    </w:pPr>
    <w:rPr/>
  </w:style>
  <w:style w:type="paragraph" w:styleId="Style13" w:customStyle="1">
    <w:name w:val="Style1"/>
    <w:rsid w:val="00a10359"/>
    <w:basedOn w:val="Heading1"/>
    <w:next w:val="Normal"/>
    <w:pPr/>
    <w:rPr>
      <w:sz w:val="20"/>
    </w:rPr>
  </w:style>
  <w:style w:type="paragraph" w:styleId="Heading1Arial" w:customStyle="1">
    <w:name w:val="Heading 1 + Arial"/>
    <w:rsid w:val="00a10359"/>
    <w:basedOn w:val="Heading1"/>
    <w:pPr/>
    <w:rPr>
      <w:sz w:val="20"/>
    </w:rPr>
  </w:style>
  <w:style w:type="paragraph" w:styleId="Header">
    <w:name w:val="Header"/>
    <w:rsid w:val="005367e1"/>
    <w:basedOn w:val="Normal"/>
    <w:pPr>
      <w:tabs>
        <w:tab w:val="center" w:pos="4320" w:leader="none"/>
        <w:tab w:val="right" w:pos="8640" w:leader="none"/>
      </w:tabs>
    </w:pPr>
    <w:rPr/>
  </w:style>
  <w:style w:type="paragraph" w:styleId="Footer">
    <w:name w:val="Footer"/>
    <w:link w:val="FooterChar"/>
    <w:rsid w:val="005367e1"/>
    <w:basedOn w:val="Normal"/>
    <w:pPr>
      <w:tabs>
        <w:tab w:val="center" w:pos="4320" w:leader="none"/>
        <w:tab w:val="right" w:pos="8640" w:leader="none"/>
      </w:tabs>
    </w:pPr>
    <w:rPr/>
  </w:style>
  <w:style w:type="paragraph" w:styleId="NormalIndent">
    <w:name w:val="Normal Indent"/>
    <w:rsid w:val="00075a9a"/>
    <w:basedOn w:val="Normal"/>
    <w:pPr>
      <w:ind w:left="720" w:right="0" w:hanging="0"/>
    </w:pPr>
    <w:rPr>
      <w:rFonts w:cs="Arial"/>
      <w:sz w:val="22"/>
      <w:szCs w:val="22"/>
    </w:rPr>
  </w:style>
  <w:style w:type="paragraph" w:styleId="Annotationtext">
    <w:name w:val="annotation text"/>
    <w:link w:val="CommentTextChar"/>
    <w:rsid w:val="001e7b58"/>
    <w:basedOn w:val="Normal"/>
    <w:pPr/>
    <w:rPr>
      <w:sz w:val="20"/>
      <w:szCs w:val="20"/>
    </w:rPr>
  </w:style>
  <w:style w:type="paragraph" w:styleId="Annotationsubject">
    <w:name w:val="annotation subject"/>
    <w:link w:val="CommentSubjectChar"/>
    <w:rsid w:val="001e7b58"/>
    <w:basedOn w:val="Annotationtext"/>
    <w:pPr/>
    <w:rPr>
      <w:b/>
      <w:bCs/>
    </w:rPr>
  </w:style>
  <w:style w:type="paragraph" w:styleId="ListParagraph">
    <w:name w:val="List Paragraph"/>
    <w:uiPriority w:val="34"/>
    <w:qFormat/>
    <w:rsid w:val="004f2176"/>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047c6d"/>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image" Target="media/image5.wmf"/><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png"/><Relationship Id="rId13" Type="http://schemas.openxmlformats.org/officeDocument/2006/relationships/image" Target="media/image12.wmf"/><Relationship Id="rId14" Type="http://schemas.openxmlformats.org/officeDocument/2006/relationships/image" Target="media/image13.png"/><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AAG_Template_2009-08-12.dot</Template>
  <TotalTime>41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2016-03-22T19:40:00Z</dcterms:created>
  <dc:creator>user</dc:creator>
  <dc:language>en-US</dc:language>
  <cp:lastModifiedBy>Chris Wilson</cp:lastModifiedBy>
  <cp:lastPrinted>2015-09-08T21:29:00Z</cp:lastPrinted>
  <dcterms:modified xsi:type="dcterms:W3CDTF">2016-03-22T19:40:00Z</dcterms:modified>
  <cp:revision>2</cp:revision>
  <dc:title>Topic:</dc:title>
</cp:coreProperties>
</file>